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 15189:2022-aligned method verification plan template</w:t>
      </w:r>
    </w:p>
    <w:p>
      <w:r>
        <w:rPr>
          <w:b w:val="0"/>
        </w:rPr>
        <w:t>Clinical microbiology | All Things Microbiology</w:t>
      </w:r>
    </w:p>
    <w:p>
      <w:r>
        <w:rPr>
          <w:b w:val="0"/>
        </w:rPr>
        <w:t>Template ID: ATM-MV-001 | Template version: 1.0 | Issued: 3 October 2026</w:t>
      </w:r>
    </w:p>
    <w:p>
      <w:r>
        <w:rPr>
          <w:b w:val="0"/>
        </w:rPr>
        <w:t>Laboratory adaptation status: Draft - requires local review and approval.</w:t>
      </w:r>
    </w:p>
    <w:p>
      <w:pPr>
        <w:pStyle w:val="Heading1"/>
      </w:pPr>
      <w:r>
        <w:t>How to use this template</w:t>
      </w:r>
    </w:p>
    <w:p>
      <w:r>
        <w:rPr>
          <w:b w:val="0"/>
        </w:rPr>
        <w:t>This original working template is aligned to ISO 15189:2022 for medical laboratories. It does not reproduce the standard, confer ISO approval or establish accreditation. Check your controlled copy of the standard and applicable regulator or accreditation-body guidance. Non-medical, food or environmental testing may require a different framework, such as ISO/IEC 17025 and applicable ISO 16140 guidance; assess that scope separately.</w:t>
      </w:r>
    </w:p>
    <w:p>
      <w:r>
        <w:rPr>
          <w:b w:val="0"/>
        </w:rPr>
        <w:t>Type in the blank cells in the Word version. Print the PDF for a paper working copy. Duplicate study-design, acceptance-criteria and result tables for every applicable characteristic, method and specimen or organism group. Retain enough blank rows for the complete record and link to controlled raw data where a separate study workbook is used.</w:t>
      </w:r>
    </w:p>
    <w:p>
      <w:r>
        <w:rPr>
          <w:b w:val="0"/>
        </w:rPr>
        <w:t>Complete and approve the plan before study testing. Define the intended use, clinical risks, study size and method-specific acceptance criteria locally. Sample counts, acceptance limits, allowed errors and confidence requirements are deliberately blank; there is no universal sample number or pass threshold in this template.</w:t>
      </w:r>
    </w:p>
    <w:p>
      <w:r>
        <w:rPr>
          <w:b w:val="0"/>
        </w:rPr>
        <w:t>Use this plan for an unmodified, established method within its intended scope. Laboratory-developed, modified or out-of-scope methods require an appropriate validation programme. Select applicable studies and record a reason for each characteristic marked not applicable.</w:t>
      </w:r>
    </w:p>
    <w:p>
      <w:r>
        <w:rPr>
          <w:b w:val="0"/>
        </w:rPr>
        <w:t>Use coded specimens and isolates in study records. Keep patient identifiers in the laboratory's approved records system. Completing the template does not authorise clinical use: an authorised person must review the evidence and approve the supported scope.</w:t>
      </w:r>
    </w:p>
    <w:p>
      <w:r>
        <w:br w:type="page"/>
      </w:r>
    </w:p>
    <w:p>
      <w:pPr>
        <w:pStyle w:val="Heading1"/>
      </w:pPr>
      <w:r>
        <w:t>1. Document control and responsibilities</w:t>
      </w:r>
    </w:p>
    <w:p>
      <w:r>
        <w:rPr>
          <w:b w:val="0"/>
        </w:rPr>
        <w:t>Complete the laboratory entries and maintain this plan as a controlled record.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81"/>
        <w:gridCol w:w="7481"/>
      </w:tblGrid>
      <w:tr>
        <w:trPr>
          <w:cantSplit/>
          <w:tblHeader/>
        </w:trPr>
        <w:tc>
          <w:tcPr>
            <w:tcW w:type="dxa" w:w="5985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8977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Laboratory entry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Laboratory / department / site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Document ID / version / effective date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Method / examination name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Manufacturer / platform / software version / IFU revision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SOP ID / version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Planned study dates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Study lead / technical reviewer / authorising person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Raw-data location / retention period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Change history / superseded plan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</w:tbl>
    <w:p/>
    <w:p>
      <w:r>
        <w:rPr>
          <w:b w:val="0"/>
        </w:rPr>
        <w:t>Approval table: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92"/>
        <w:gridCol w:w="2992"/>
        <w:gridCol w:w="2992"/>
        <w:gridCol w:w="2992"/>
        <w:gridCol w:w="2992"/>
      </w:tblGrid>
      <w:tr>
        <w:trPr>
          <w:cantSplit/>
          <w:tblHeader/>
        </w:trPr>
        <w:tc>
          <w:tcPr>
            <w:tcW w:type="dxa" w:w="2992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2992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Name</w:t>
            </w:r>
          </w:p>
        </w:tc>
        <w:tc>
          <w:tcPr>
            <w:tcW w:type="dxa" w:w="2992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Approval / signature</w:t>
            </w:r>
          </w:p>
        </w:tc>
        <w:tc>
          <w:tcPr>
            <w:tcW w:type="dxa" w:w="2992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Date</w:t>
            </w:r>
          </w:p>
        </w:tc>
        <w:tc>
          <w:tcPr>
            <w:tcW w:type="dxa" w:w="2992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Comments / conditions</w:t>
            </w:r>
          </w:p>
        </w:tc>
      </w:tr>
      <w:tr>
        <w:trPr>
          <w:cantSplit/>
        </w:trPr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Prepared by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Technical / quality review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Plan authorised before testing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</w:tbl>
    <w:p/>
    <w:p>
      <w:r>
        <w:br w:type="page"/>
      </w:r>
    </w:p>
    <w:p>
      <w:pPr>
        <w:pStyle w:val="Heading1"/>
      </w:pPr>
      <w:r>
        <w:t>2. Intended use, scope, and verification-or-validation decision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81"/>
        <w:gridCol w:w="7481"/>
      </w:tblGrid>
      <w:tr>
        <w:trPr>
          <w:cantSplit/>
          <w:tblHeader/>
        </w:trPr>
        <w:tc>
          <w:tcPr>
            <w:tcW w:type="dxa" w:w="5985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Scope field</w:t>
            </w:r>
          </w:p>
        </w:tc>
        <w:tc>
          <w:tcPr>
            <w:tcW w:type="dxa" w:w="8977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Laboratory entry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Clinical purpose and decisions supported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Method type: culture / identification / AST / qualitative NAAT / quantitative examination / other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Analytes / organisms / organism groups / antimicrobial agents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Specimen types / matrices / transport and storage conditions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Patient population / setting / inclusion and exclusion scope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Reported result, units, interpretation / clinical decision limits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Claimed range / detection capability / relevant manufacturer claims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Local operators, equipment, environment, workflow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Scope exclusions and limitations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</w:tbl>
    <w:p/>
    <w:p>
      <w:r>
        <w:rPr>
          <w:b w:val="0"/>
        </w:rPr>
        <w:t>Record the scope decision before approving the study.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7"/>
        <w:gridCol w:w="4987"/>
        <w:gridCol w:w="4987"/>
      </w:tblGrid>
      <w:tr>
        <w:trPr>
          <w:cantSplit/>
          <w:tblHeader/>
        </w:trPr>
        <w:tc>
          <w:tcPr>
            <w:tcW w:type="dxa" w:w="5685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Decision question</w:t>
            </w:r>
          </w:p>
        </w:tc>
        <w:tc>
          <w:tcPr>
            <w:tcW w:type="dxa" w:w="2693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Yes / No / N/A</w:t>
            </w:r>
          </w:p>
        </w:tc>
        <w:tc>
          <w:tcPr>
            <w:tcW w:type="dxa" w:w="6583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Evidence and implications</w:t>
            </w:r>
          </w:p>
        </w:tc>
      </w:tr>
      <w:tr>
        <w:trPr>
          <w:cantSplit/>
        </w:trPr>
        <w:tc>
          <w:tcPr>
            <w:tcW w:type="dxa" w:w="56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Is this an established, previously validated method used without modification?</w:t>
            </w:r>
          </w:p>
        </w:tc>
        <w:tc>
          <w:tcPr>
            <w:tcW w:type="dxa" w:w="2693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6583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6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Are all local specimens, populations, intended uses and conditions within its established scope?</w:t>
            </w:r>
          </w:p>
        </w:tc>
        <w:tc>
          <w:tcPr>
            <w:tcW w:type="dxa" w:w="2693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6583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6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Are documented performance claims available and suitable for the laboratory’s intended use?</w:t>
            </w:r>
          </w:p>
        </w:tc>
        <w:tc>
          <w:tcPr>
            <w:tcW w:type="dxa" w:w="2693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6583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6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Is the method laboratory-developed, modified, or being used outside its established scope?</w:t>
            </w:r>
          </w:p>
        </w:tc>
        <w:tc>
          <w:tcPr>
            <w:tcW w:type="dxa" w:w="2693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6583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6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Are any unresolved scope or performance questions present?</w:t>
            </w:r>
          </w:p>
        </w:tc>
        <w:tc>
          <w:tcPr>
            <w:tcW w:type="dxa" w:w="2693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6583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</w:tbl>
    <w:p/>
    <w:p>
      <w:r>
        <w:rPr>
          <w:b w:val="0"/>
        </w:rPr>
      </w:r>
      <w:r>
        <w:rPr>
          <w:b/>
        </w:rPr>
        <w:t>Route selected:</w:t>
      </w:r>
      <w:r>
        <w:rPr>
          <w:b w:val="0"/>
        </w:rPr>
        <w:t xml:space="preserve"> [ ] Verification of an unmodified established method within its scope [ ] Validation required [ ] Technical review needed before proceeding.</w:t>
      </w:r>
    </w:p>
    <w:p>
      <w:r>
        <w:rPr>
          <w:b w:val="0"/>
        </w:rPr>
      </w:r>
      <w:r>
        <w:rPr>
          <w:b/>
        </w:rPr>
        <w:t>Decision rationale / authoriser / date:</w:t>
      </w:r>
      <w:r>
        <w:rPr>
          <w:b w:val="0"/>
        </w:rPr>
        <w:t xml:space="preserve"> ____________________________________________</w:t>
      </w:r>
    </w:p>
    <w:p>
      <w:r>
        <w:rPr>
          <w:b w:val="0"/>
        </w:rPr>
        <w:t>For laboratory-developed, modified, or out-of-scope methods, complete an appropriate validation plan before clinical implementation. This verification template does not establish the full validation programme. Do not treat a change of specimen matrix, extraction method, algorithm, threshold, or intended use as automatically covered by a manufacturer’s original validation.</w:t>
      </w:r>
    </w:p>
    <w:p>
      <w:r>
        <w:br w:type="page"/>
      </w:r>
    </w:p>
    <w:p>
      <w:pPr>
        <w:pStyle w:val="Heading1"/>
      </w:pPr>
      <w:r>
        <w:t>3. Prerequisites and clinical risk review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40"/>
        <w:gridCol w:w="3740"/>
        <w:gridCol w:w="3740"/>
        <w:gridCol w:w="3740"/>
      </w:tblGrid>
      <w:tr>
        <w:trPr>
          <w:cantSplit/>
          <w:tblHeader/>
        </w:trPr>
        <w:tc>
          <w:tcPr>
            <w:tcW w:type="dxa" w:w="3740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Prerequisite</w:t>
            </w:r>
          </w:p>
        </w:tc>
        <w:tc>
          <w:tcPr>
            <w:tcW w:type="dxa" w:w="3740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Evidence reference</w:t>
            </w:r>
          </w:p>
        </w:tc>
        <w:tc>
          <w:tcPr>
            <w:tcW w:type="dxa" w:w="3740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Ready / Not ready / N/A</w:t>
            </w:r>
          </w:p>
        </w:tc>
        <w:tc>
          <w:tcPr>
            <w:tcW w:type="dxa" w:w="3740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Gap, owner and due date</w:t>
            </w:r>
          </w:p>
        </w:tc>
      </w:tr>
      <w:tr>
        <w:trPr>
          <w:cantSplit/>
        </w:trPr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Controlled instructions and method SOP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Equipment qualification, maintenance and relevant calibration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Staff training / competency / authorisation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Reagent, medium, control and reference-material suitability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Comparator suitability and independent evidence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Biosafety, contamination prevention and waste procedures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Specimen suitability, consent / ethical arrangements where applicable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Result calculation, reporting and LIMS interface checks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QC and validity rules for study runs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</w:tbl>
    <w:p/>
    <w:p>
      <w:r>
        <w:rPr>
          <w:b w:val="0"/>
        </w:rPr>
        <w:t>Risk table: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92"/>
        <w:gridCol w:w="2992"/>
        <w:gridCol w:w="2992"/>
        <w:gridCol w:w="2992"/>
        <w:gridCol w:w="2992"/>
      </w:tblGrid>
      <w:tr>
        <w:trPr>
          <w:cantSplit/>
          <w:tblHeader/>
        </w:trPr>
        <w:tc>
          <w:tcPr>
            <w:tcW w:type="dxa" w:w="2992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Failure mode / affected result</w:t>
            </w:r>
          </w:p>
        </w:tc>
        <w:tc>
          <w:tcPr>
            <w:tcW w:type="dxa" w:w="2992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Potential clinical harm</w:t>
            </w:r>
          </w:p>
        </w:tc>
        <w:tc>
          <w:tcPr>
            <w:tcW w:type="dxa" w:w="2992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Likelihood / impact and rationale</w:t>
            </w:r>
          </w:p>
        </w:tc>
        <w:tc>
          <w:tcPr>
            <w:tcW w:type="dxa" w:w="2992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Study element / control that addresses the risk</w:t>
            </w:r>
          </w:p>
        </w:tc>
        <w:tc>
          <w:tcPr>
            <w:tcW w:type="dxa" w:w="2992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Residual risk / reviewer</w:t>
            </w:r>
          </w:p>
        </w:tc>
      </w:tr>
      <w:tr>
        <w:trPr>
          <w:cantSplit/>
        </w:trPr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</w:tbl>
    <w:p/>
    <w:p>
      <w:r>
        <w:rPr>
          <w:b w:val="0"/>
        </w:rPr>
        <w:t>Risk prompts include missed pathogen, false-positive contamination, misidentification, incorrect susceptibility category, near-threshold classification, quantitative bias, invalid results, delays and transcription errors. Use the laboratory's documented risk scale and rationale.</w:t>
      </w:r>
    </w:p>
    <w:p>
      <w:r>
        <w:br w:type="page"/>
      </w:r>
    </w:p>
    <w:p>
      <w:pPr>
        <w:pStyle w:val="Heading1"/>
      </w:pPr>
      <w:r>
        <w:t>4. Performance characteristics to verify</w:t>
      </w:r>
    </w:p>
    <w:p>
      <w:r>
        <w:rPr>
          <w:b w:val="0"/>
        </w:rPr>
        <w:t>Do not force every characteristic onto every method. Require an applicable/not-applicable decision with a rationale.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40"/>
        <w:gridCol w:w="3740"/>
        <w:gridCol w:w="3740"/>
        <w:gridCol w:w="3740"/>
      </w:tblGrid>
      <w:tr>
        <w:trPr>
          <w:cantSplit/>
          <w:tblHeader/>
        </w:trPr>
        <w:tc>
          <w:tcPr>
            <w:tcW w:type="dxa" w:w="3740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Characteristic</w:t>
            </w:r>
          </w:p>
        </w:tc>
        <w:tc>
          <w:tcPr>
            <w:tcW w:type="dxa" w:w="3740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Applicable / N/A and rationale</w:t>
            </w:r>
          </w:p>
        </w:tc>
        <w:tc>
          <w:tcPr>
            <w:tcW w:type="dxa" w:w="3740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Source of claim or requirement</w:t>
            </w:r>
          </w:p>
        </w:tc>
        <w:tc>
          <w:tcPr>
            <w:tcW w:type="dxa" w:w="3740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Planned study ID</w:t>
            </w:r>
          </w:p>
        </w:tc>
      </w:tr>
      <w:tr>
        <w:trPr>
          <w:cantSplit/>
        </w:trPr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Agreement with suitable comparator / reference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Repeatability / reproducibility appropriate to the result type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Detection / recovery capability or relevant analytical sensitivity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Specificity / selectivity / cross-reactivity where relevant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Reportable range / linearity / quantitation where relevant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Bias / trueness where relevant and reference suitable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Interference / carry-over / contamination where relevant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Specimen stability / handling conditions where relevant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Invalid, indeterminate, no-identification or no-result handling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Turnaround / reporting / interpretive rules where relevant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Measurement uncertainty evaluation or relevant information, where applicable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374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</w:tbl>
    <w:p/>
    <w:p>
      <w:r>
        <w:rPr>
          <w:b w:val="0"/>
        </w:rPr>
        <w:t>For a qualitative result, assess repeatability or result consistency as appropriate; do not require a numerical CV. For a quantitative method, plan suitable precision/bias/range studies and assess measurement uncertainty where applicable. A laboratory should explain any claimed characteristic that it will not test locally and identify the evidence supporting that decision.</w:t>
      </w:r>
    </w:p>
    <w:p>
      <w:r>
        <w:br w:type="page"/>
      </w:r>
    </w:p>
    <w:p>
      <w:pPr>
        <w:pStyle w:val="Heading1"/>
      </w:pPr>
      <w:r>
        <w:t>5. Study design and justified sample sizes</w:t>
      </w:r>
    </w:p>
    <w:p>
      <w:r>
        <w:rPr>
          <w:b w:val="0"/>
        </w:rPr>
        <w:t>Repeat the following table for each study ID. Keep the study design separate from its results.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81"/>
        <w:gridCol w:w="7481"/>
      </w:tblGrid>
      <w:tr>
        <w:trPr>
          <w:cantSplit/>
          <w:tblHeader/>
        </w:trPr>
        <w:tc>
          <w:tcPr>
            <w:tcW w:type="dxa" w:w="5985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Design field</w:t>
            </w:r>
          </w:p>
        </w:tc>
        <w:tc>
          <w:tcPr>
            <w:tcW w:type="dxa" w:w="8977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Laboratory entry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Study ID / characteristic / objective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Intended clinical claim being verified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Specimen / isolate / reference material sources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Independent samples / isolates planned, by required category or stratum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Replicates / runs / days / operators / instruments / reagent lots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Challenge groups: positives, negatives, low-level or near-cut-off material, relevant organisms / resistance phenotypes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Inclusion / exclusion criteria and handling of unsuitable samples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Comparator / reference method, qualification and limitations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Pairing, masking, order of testing and independent interpretation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Handling / storage / freeze-thaw conditions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Statistical approach, denominator, confidence interval method if used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Sample size rationale: clinical risk, desired certainty, performance claim, available guidance and feasibility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Limits of the design / additional evidence or work needed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Data form / raw record references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</w:tbl>
    <w:p/>
    <w:p>
      <w:r>
        <w:rPr>
          <w:b w:val="0"/>
        </w:rPr>
        <w:t>A specimen-stratum table is useful: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92"/>
        <w:gridCol w:w="2992"/>
        <w:gridCol w:w="2992"/>
        <w:gridCol w:w="2992"/>
        <w:gridCol w:w="2992"/>
      </w:tblGrid>
      <w:tr>
        <w:trPr>
          <w:cantSplit/>
          <w:tblHeader/>
        </w:trPr>
        <w:tc>
          <w:tcPr>
            <w:tcW w:type="dxa" w:w="2992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Group / matrix / organism or antimicrobial</w:t>
            </w:r>
          </w:p>
        </w:tc>
        <w:tc>
          <w:tcPr>
            <w:tcW w:type="dxa" w:w="2992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Independent samples planned</w:t>
            </w:r>
          </w:p>
        </w:tc>
        <w:tc>
          <w:tcPr>
            <w:tcW w:type="dxa" w:w="2992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Replicates per sample</w:t>
            </w:r>
          </w:p>
        </w:tc>
        <w:tc>
          <w:tcPr>
            <w:tcW w:type="dxa" w:w="2992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Selection rationale / source</w:t>
            </w:r>
          </w:p>
        </w:tc>
        <w:tc>
          <w:tcPr>
            <w:tcW w:type="dxa" w:w="2992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Clinical risk addressed</w:t>
            </w:r>
          </w:p>
        </w:tc>
      </w:tr>
      <w:tr>
        <w:trPr>
          <w:cantSplit/>
        </w:trPr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</w:tbl>
    <w:p/>
    <w:p>
      <w:r>
        <w:rPr>
          <w:b w:val="0"/>
        </w:rPr>
        <w:t>The study must distinguish independent patient samples / isolates from technical replicates. Repeated testing of one isolate does not create additional independent clinical samples. Include clinically important uncommon groups and near-decision-limit material when relevant. A convenience panel alone may not support the proposed scope; record any coverage limits. Control material may support precision or detection studies but does not automatically establish patient-sample agreement.</w:t>
      </w:r>
    </w:p>
    <w:p>
      <w:r>
        <w:br w:type="page"/>
      </w:r>
    </w:p>
    <w:p>
      <w:pPr>
        <w:pStyle w:val="Heading1"/>
      </w:pPr>
      <w:r>
        <w:t>6. Pre-agreed acceptance criteria and decision rules</w:t>
      </w:r>
    </w:p>
    <w:p>
      <w:r>
        <w:rPr>
          <w:b w:val="0"/>
        </w:rPr>
        <w:t>This table is completed and approved before testing. Values are deliberately blank.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  <w:gridCol w:w="2494"/>
        <w:gridCol w:w="2494"/>
      </w:tblGrid>
      <w:tr>
        <w:trPr>
          <w:cantSplit/>
          <w:tblHeader/>
        </w:trPr>
        <w:tc>
          <w:tcPr>
            <w:tcW w:type="dxa" w:w="2494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Study ID / characteristic / group</w:t>
            </w:r>
          </w:p>
        </w:tc>
        <w:tc>
          <w:tcPr>
            <w:tcW w:type="dxa" w:w="2494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Metric and exact denominator</w:t>
            </w:r>
          </w:p>
        </w:tc>
        <w:tc>
          <w:tcPr>
            <w:tcW w:type="dxa" w:w="2494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Acceptance limit / allowed error</w:t>
            </w:r>
          </w:p>
        </w:tc>
        <w:tc>
          <w:tcPr>
            <w:tcW w:type="dxa" w:w="2494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Source / rationale</w:t>
            </w:r>
          </w:p>
        </w:tc>
        <w:tc>
          <w:tcPr>
            <w:tcW w:type="dxa" w:w="2494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Confidence or uncertainty requirement, if applicable</w:t>
            </w:r>
          </w:p>
        </w:tc>
        <w:tc>
          <w:tcPr>
            <w:tcW w:type="dxa" w:w="2494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Decision / escalation rule</w:t>
            </w:r>
          </w:p>
        </w:tc>
      </w:tr>
      <w:tr>
        <w:trPr>
          <w:cantSplit/>
        </w:trPr>
        <w:tc>
          <w:tcPr>
            <w:tcW w:type="dxa" w:w="2494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494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494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494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494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494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94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494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494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494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494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494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94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494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494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494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494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494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</w:tbl>
    <w:p/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81"/>
        <w:gridCol w:w="7481"/>
      </w:tblGrid>
      <w:tr>
        <w:trPr>
          <w:cantSplit/>
          <w:tblHeader/>
        </w:trPr>
        <w:tc>
          <w:tcPr>
            <w:tcW w:type="dxa" w:w="5985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Rule to define before testing</w:t>
            </w:r>
          </w:p>
        </w:tc>
        <w:tc>
          <w:tcPr>
            <w:tcW w:type="dxa" w:w="8977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Laboratory entry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Run validity / QC failure rule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Invalid / indeterminate / no-result handling and reporting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Repeats and allowed reason for repeat testing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Discordance investigation / independent resolution process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Predetermined exclusion rule and excluded-result reporting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Criteria for an inconclusive study / insufficient evidence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Handling of failed criteria and required additional work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Control of plan amendments: reason, approval, date and impact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</w:tbl>
    <w:p/>
    <w:p>
      <w:r>
        <w:rPr>
          <w:b w:val="0"/>
        </w:rPr>
        <w:t>Retain original results when repeats or discrepancy investigations occur. Report original paired agreement separately from resolved findings; do not replace an unfavourable pair with a resolved result or remove it without a documented pre-agreed reason. Changing criteria after seeing results requires a controlled amendment and transparent justification, rather than a retrospective pass threshold.</w:t>
      </w:r>
    </w:p>
    <w:p>
      <w:r>
        <w:br w:type="page"/>
      </w:r>
    </w:p>
    <w:p>
      <w:pPr>
        <w:pStyle w:val="Heading1"/>
      </w:pPr>
      <w:r>
        <w:t>7. Method-specific planning prompts</w:t>
      </w:r>
    </w:p>
    <w:p>
      <w:r>
        <w:rPr>
          <w:b w:val="0"/>
        </w:rPr>
        <w:t>Use only the applicable row(s); these are prompts, not mandatory numerical thresholds.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81"/>
        <w:gridCol w:w="7481"/>
      </w:tblGrid>
      <w:tr>
        <w:trPr>
          <w:cantSplit/>
          <w:tblHeader/>
        </w:trPr>
        <w:tc>
          <w:tcPr>
            <w:tcW w:type="dxa" w:w="5985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8977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What to specify in the plan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Culture / organism recovery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Specimen matrices, media and atmosphere, incubation conditions, target and non-target organisms, mixed growth where relevant, recovery/identity endpoints, clinically important low-level challenges, comparator limitations, and interpretation/reporting rules.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Identification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Claimed taxonomic/reporting level, representative species or groups, difficult/near-neighbour organisms, database/software version, correct identification versus misidentification versus no-identification, and an appropriate independent reference for discordance.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AST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Organism–antimicrobial combinations, reference method, local specimen/organism scope, applicable CLSI or EUCAST document and edition, breakpoint/version and category definitions, QC rules, quantitative MIC or zone results where relevant, categorical agreement and relevant error definitions/denominators.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Qualitative NAAT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Target(s), specimen matrices, extraction and internal controls, positive/negative agreement with a suitable comparator, low-level detection near the claimed limit, repeatability, inhibitors, cross-reactivity and contamination/carry-over where relevant, invalid/indeterminate outcomes, and cut-off interpretation.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Quantitative examination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Measurand and units, traceability/reference material, relevant range and decision levels, repeatability/intermediate precision, bias or suitable comparison, range/linearity and quantitation claims where applicable, interference/carry-over, uncertainty and reporting.</w:t>
            </w:r>
          </w:p>
        </w:tc>
      </w:tr>
    </w:tbl>
    <w:p/>
    <w:p>
      <w:r>
        <w:rPr>
          <w:b w:val="0"/>
        </w:rPr>
        <w:t>AST details to include only if relevant: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81"/>
        <w:gridCol w:w="7481"/>
      </w:tblGrid>
      <w:tr>
        <w:trPr>
          <w:cantSplit/>
          <w:tblHeader/>
        </w:trPr>
        <w:tc>
          <w:tcPr>
            <w:tcW w:type="dxa" w:w="5985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AST metric / rule</w:t>
            </w:r>
          </w:p>
        </w:tc>
        <w:tc>
          <w:tcPr>
            <w:tcW w:type="dxa" w:w="8977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Exact local definition and denominator / approved criterion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Essential agreement for MIC results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Categorical agreement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Very major error / false-susceptible result: numerator and reference-resistant denominator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Major error / false-resistant result: numerator and reference-susceptible denominator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Other category discrepancies and applicable treatment of intermediate / increased-exposure categories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Treatment of off-scale MICs, technical uncertainty and unreportable combinations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Organism–drug-specific and overall summaries, including sparse denominators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</w:tbl>
    <w:p/>
    <w:p>
      <w:r>
        <w:rPr>
          <w:b w:val="0"/>
        </w:rPr>
        <w:t>AST is not one homogeneous pooled claim. Report organism–drug groups and clinically important resistance categories where appropriate. A percentage with few reference-resistant isolates can conceal serious uncertainty; show the counts. CLSI and EUCAST category definitions cannot be mixed. EUCAST “I” means susceptible, increased exposure; it should not be casually relabelled as a generic intermediate category. State the chosen version because breakpoints change. Do not apply essential agreement to disc zone diameters as if they were MIC dilution results.</w:t>
      </w:r>
    </w:p>
    <w:p>
      <w:r>
        <w:rPr>
          <w:b w:val="0"/>
        </w:rPr>
        <w:t>For NAAT and other qualitative comparisons, use positive / negative percentage agreement when the comparator is not a sufficiently established clinical reference. Do not rename comparator agreement as diagnostic sensitivity or specificity without a suitable clinical reference standard and study design. Cycle-threshold precision alone does not establish qualitative detection performance.</w:t>
      </w:r>
    </w:p>
    <w:p>
      <w:r>
        <w:br w:type="page"/>
      </w:r>
    </w:p>
    <w:p>
      <w:pPr>
        <w:pStyle w:val="Heading1"/>
      </w:pPr>
      <w:r>
        <w:t>8. Execution record, deviations, and analysis</w:t>
      </w:r>
    </w:p>
    <w:p>
      <w:r>
        <w:rPr>
          <w:b w:val="0"/>
        </w:rPr>
        <w:t>Raw-data record (repeat rows as needed):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0"/>
        <w:gridCol w:w="1870"/>
        <w:gridCol w:w="1870"/>
        <w:gridCol w:w="1870"/>
        <w:gridCol w:w="1870"/>
        <w:gridCol w:w="1870"/>
        <w:gridCol w:w="1870"/>
        <w:gridCol w:w="1870"/>
      </w:tblGrid>
      <w:tr>
        <w:trPr>
          <w:cantSplit/>
          <w:tblHeader/>
        </w:trPr>
        <w:tc>
          <w:tcPr>
            <w:tcW w:type="dxa" w:w="1870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Coded sample / isolate ID and group</w:t>
            </w:r>
          </w:p>
        </w:tc>
        <w:tc>
          <w:tcPr>
            <w:tcW w:type="dxa" w:w="1870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Date / run / operator</w:t>
            </w:r>
          </w:p>
        </w:tc>
        <w:tc>
          <w:tcPr>
            <w:tcW w:type="dxa" w:w="1870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Lot / instrument</w:t>
            </w:r>
          </w:p>
        </w:tc>
        <w:tc>
          <w:tcPr>
            <w:tcW w:type="dxa" w:w="1870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Candidate original result</w:t>
            </w:r>
          </w:p>
        </w:tc>
        <w:tc>
          <w:tcPr>
            <w:tcW w:type="dxa" w:w="1870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Comparator original result</w:t>
            </w:r>
          </w:p>
        </w:tc>
        <w:tc>
          <w:tcPr>
            <w:tcW w:type="dxa" w:w="1870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QC / validity</w:t>
            </w:r>
          </w:p>
        </w:tc>
        <w:tc>
          <w:tcPr>
            <w:tcW w:type="dxa" w:w="1870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Repeat / resolution reference</w:t>
            </w:r>
          </w:p>
        </w:tc>
        <w:tc>
          <w:tcPr>
            <w:tcW w:type="dxa" w:w="1870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Deviation / comment</w:t>
            </w:r>
          </w:p>
        </w:tc>
      </w:tr>
      <w:tr>
        <w:trPr>
          <w:cantSplit/>
        </w:trPr>
        <w:tc>
          <w:tcPr>
            <w:tcW w:type="dxa" w:w="187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187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187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187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187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187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187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187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87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187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187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187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187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187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187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1870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</w:tbl>
    <w:p/>
    <w:p>
      <w:r>
        <w:rPr>
          <w:b w:val="0"/>
        </w:rPr>
        <w:t>Separate disagreement/deviation record: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92"/>
        <w:gridCol w:w="2992"/>
        <w:gridCol w:w="2992"/>
        <w:gridCol w:w="2992"/>
        <w:gridCol w:w="2992"/>
      </w:tblGrid>
      <w:tr>
        <w:trPr>
          <w:cantSplit/>
          <w:tblHeader/>
        </w:trPr>
        <w:tc>
          <w:tcPr>
            <w:tcW w:type="dxa" w:w="2992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Record ID / original finding</w:t>
            </w:r>
          </w:p>
        </w:tc>
        <w:tc>
          <w:tcPr>
            <w:tcW w:type="dxa" w:w="2992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Investigation / evidence</w:t>
            </w:r>
          </w:p>
        </w:tc>
        <w:tc>
          <w:tcPr>
            <w:tcW w:type="dxa" w:w="2992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Resolution and clinical significance</w:t>
            </w:r>
          </w:p>
        </w:tc>
        <w:tc>
          <w:tcPr>
            <w:tcW w:type="dxa" w:w="2992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Corrective action / owner / due date</w:t>
            </w:r>
          </w:p>
        </w:tc>
        <w:tc>
          <w:tcPr>
            <w:tcW w:type="dxa" w:w="2992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Closure / reviewer</w:t>
            </w:r>
          </w:p>
        </w:tc>
      </w:tr>
      <w:tr>
        <w:trPr>
          <w:cantSplit/>
        </w:trPr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</w:tbl>
    <w:p/>
    <w:p>
      <w:r>
        <w:rPr>
          <w:b w:val="0"/>
        </w:rPr>
        <w:t>Results summary: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  <w:gridCol w:w="2494"/>
        <w:gridCol w:w="2494"/>
      </w:tblGrid>
      <w:tr>
        <w:trPr>
          <w:cantSplit/>
          <w:tblHeader/>
        </w:trPr>
        <w:tc>
          <w:tcPr>
            <w:tcW w:type="dxa" w:w="2494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Study ID / characteristic / group</w:t>
            </w:r>
          </w:p>
        </w:tc>
        <w:tc>
          <w:tcPr>
            <w:tcW w:type="dxa" w:w="2494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Planned / tested / excluded counts and reasons</w:t>
            </w:r>
          </w:p>
        </w:tc>
        <w:tc>
          <w:tcPr>
            <w:tcW w:type="dxa" w:w="2494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Estimate / count / uncertainty or CI if specified</w:t>
            </w:r>
          </w:p>
        </w:tc>
        <w:tc>
          <w:tcPr>
            <w:tcW w:type="dxa" w:w="2494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Approved criterion</w:t>
            </w:r>
          </w:p>
        </w:tc>
        <w:tc>
          <w:tcPr>
            <w:tcW w:type="dxa" w:w="2494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Met / Not met / Inconclusive</w:t>
            </w:r>
          </w:p>
        </w:tc>
        <w:tc>
          <w:tcPr>
            <w:tcW w:type="dxa" w:w="2494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Evidence reference / reviewer</w:t>
            </w:r>
          </w:p>
        </w:tc>
      </w:tr>
      <w:tr>
        <w:trPr>
          <w:cantSplit/>
        </w:trPr>
        <w:tc>
          <w:tcPr>
            <w:tcW w:type="dxa" w:w="2494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494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494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494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494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494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94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494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494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494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494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494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94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494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494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494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494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494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</w:tbl>
    <w:p/>
    <w:p>
      <w:r>
        <w:rPr>
          <w:b w:val="0"/>
        </w:rPr>
        <w:t>Show invalid, indeterminate, no-identification and no-result counts separately with their denominators. Do not silently remove these from an agreement analysis. Keep traceable coded IDs; do not put identifiable patient information in publicly shared template copies.</w:t>
      </w:r>
    </w:p>
    <w:p>
      <w:r>
        <w:br w:type="page"/>
      </w:r>
    </w:p>
    <w:p>
      <w:pPr>
        <w:pStyle w:val="Heading1"/>
      </w:pPr>
      <w:r>
        <w:t>9. Technical conclusion and authorisation for intended use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81"/>
        <w:gridCol w:w="7481"/>
      </w:tblGrid>
      <w:tr>
        <w:trPr>
          <w:cantSplit/>
          <w:tblHeader/>
        </w:trPr>
        <w:tc>
          <w:tcPr>
            <w:tcW w:type="dxa" w:w="5985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Review field</w:t>
            </w:r>
          </w:p>
        </w:tc>
        <w:tc>
          <w:tcPr>
            <w:tcW w:type="dxa" w:w="8977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Laboratory entry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Verified claims and supported scope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Failed / inconclusive claims, limitations and unresolved questions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Deviations and their effect on interpretation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Additional study / corrective action required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Clinical risk review and any scope restrictions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SOP / reporting / training / QC changes needed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Overall decision: verified within stated scope / not verified / inconclusive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Authorised clinical scope and exclusions, if authorised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Implementation date / responsible person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</w:tbl>
    <w:p/>
    <w:p>
      <w:r>
        <w:rPr>
          <w:b w:val="0"/>
        </w:rPr>
        <w:t>Review and release table: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92"/>
        <w:gridCol w:w="2992"/>
        <w:gridCol w:w="2992"/>
        <w:gridCol w:w="2992"/>
        <w:gridCol w:w="2992"/>
      </w:tblGrid>
      <w:tr>
        <w:trPr>
          <w:cantSplit/>
          <w:tblHeader/>
        </w:trPr>
        <w:tc>
          <w:tcPr>
            <w:tcW w:type="dxa" w:w="2992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2992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Name</w:t>
            </w:r>
          </w:p>
        </w:tc>
        <w:tc>
          <w:tcPr>
            <w:tcW w:type="dxa" w:w="2992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Decision / signature</w:t>
            </w:r>
          </w:p>
        </w:tc>
        <w:tc>
          <w:tcPr>
            <w:tcW w:type="dxa" w:w="2992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Date</w:t>
            </w:r>
          </w:p>
        </w:tc>
        <w:tc>
          <w:tcPr>
            <w:tcW w:type="dxa" w:w="2992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Conditions / evidence references</w:t>
            </w:r>
          </w:p>
        </w:tc>
      </w:tr>
      <w:tr>
        <w:trPr>
          <w:cantSplit/>
        </w:trPr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Technical review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Quality review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Authorisation for stated intended use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</w:tbl>
    <w:p/>
    <w:p>
      <w:r>
        <w:rPr>
          <w:b w:val="0"/>
        </w:rPr>
        <w:t>A completed form is not itself clinical authorisation. The authorised person must review the evidence and decide whether the defined scope is supported. Failed or unresolved criteria cannot be hidden behind a generic “pass”.</w:t>
      </w:r>
    </w:p>
    <w:p>
      <w:r>
        <w:br w:type="page"/>
      </w:r>
    </w:p>
    <w:p>
      <w:pPr>
        <w:pStyle w:val="Heading1"/>
      </w:pPr>
      <w:r>
        <w:t>10. Implementation, ongoing assurance and change review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92"/>
        <w:gridCol w:w="2992"/>
        <w:gridCol w:w="2992"/>
        <w:gridCol w:w="2992"/>
        <w:gridCol w:w="2992"/>
      </w:tblGrid>
      <w:tr>
        <w:trPr>
          <w:cantSplit/>
          <w:tblHeader/>
        </w:trPr>
        <w:tc>
          <w:tcPr>
            <w:tcW w:type="dxa" w:w="2992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Implementation / monitoring item</w:t>
            </w:r>
          </w:p>
        </w:tc>
        <w:tc>
          <w:tcPr>
            <w:tcW w:type="dxa" w:w="2992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Requirement / evidence</w:t>
            </w:r>
          </w:p>
        </w:tc>
        <w:tc>
          <w:tcPr>
            <w:tcW w:type="dxa" w:w="2992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Owner</w:t>
            </w:r>
          </w:p>
        </w:tc>
        <w:tc>
          <w:tcPr>
            <w:tcW w:type="dxa" w:w="2992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Due / review date</w:t>
            </w:r>
          </w:p>
        </w:tc>
        <w:tc>
          <w:tcPr>
            <w:tcW w:type="dxa" w:w="2992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rPr>
          <w:cantSplit/>
        </w:trPr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Controlled SOP and interpretation / reporting rules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Staff competency and authorisation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QC plan and action rules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EQA / interlaboratory comparison or suitable alternative, where applicable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LIMS result mapping, calculations, flags and audit trail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Reagent / medium / control lot acceptance arrangements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Review of invalids, discordance and clinically important errors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Planned review and triggers for re-verification / validation assessment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  <w:tc>
          <w:tcPr>
            <w:tcW w:type="dxa" w:w="2992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</w:tbl>
    <w:p/>
    <w:p>
      <w:r>
        <w:rPr>
          <w:b w:val="0"/>
        </w:rPr>
        <w:t>Change triggers should include changes in method, intended use, specimen type, instrument, critical software/database/algorithm, significant reagent changes, clinical decision limits or AST breakpoints, relocation/conditions, and persistent QC/EQA or performance concerns. Assess the effect of a change and document the needed work; not every lot change automatically requires a complete new method verification.</w:t>
      </w:r>
    </w:p>
    <w:p>
      <w:r>
        <w:br w:type="page"/>
      </w:r>
    </w:p>
    <w:p>
      <w:pPr>
        <w:pStyle w:val="Heading1"/>
      </w:pPr>
      <w:r>
        <w:t>11. References and local guidance</w:t>
      </w:r>
    </w:p>
    <w:p>
      <w:r>
        <w:rPr>
          <w:b w:val="0"/>
        </w:rPr>
        <w:t>Keep the laboratory's applicable editions controlled rather than assuming a universal numeric acceptance criterion.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81"/>
        <w:gridCol w:w="7481"/>
      </w:tblGrid>
      <w:tr>
        <w:trPr>
          <w:cantSplit/>
          <w:tblHeader/>
        </w:trPr>
        <w:tc>
          <w:tcPr>
            <w:tcW w:type="dxa" w:w="5985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Reference / controlled edition</w:t>
            </w:r>
          </w:p>
        </w:tc>
        <w:tc>
          <w:tcPr>
            <w:tcW w:type="dxa" w:w="8977"/>
            <w:shd w:fill="146676"/>
          </w:tcPr>
          <w:p>
            <w:pPr>
              <w:spacing w:after="80" w:before="60"/>
            </w:pPr>
            <w:r>
              <w:rPr>
                <w:b/>
                <w:color w:val="FFFFFF"/>
                <w:sz w:val="20"/>
              </w:rPr>
              <w:t>Relevant use / location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ISO 15189:2022 — Medical laboratories — Requirements for quality and competence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Primary alignment; verification, validation and validity of results. Official catalogue: https://www.iso.org/standard/76677.html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Manufacturer IFU / performance claims / revision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Laboratory SOP / verification policy / risk policy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Applicable national regulator / accreditation body guidance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Applicable CLSI / EUCAST method, QC and breakpoint documents and editions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ISO 20776 series, if applicable to AST study design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85"/>
          </w:tcPr>
          <w:p>
            <w:pPr>
              <w:spacing w:after="80" w:before="60"/>
            </w:pPr>
            <w:r>
              <w:rPr>
                <w:b w:val="0"/>
                <w:sz w:val="20"/>
              </w:rPr>
              <w:t>Applicable method-specific verification / statistics guidance</w:t>
            </w:r>
          </w:p>
        </w:tc>
        <w:tc>
          <w:tcPr>
            <w:tcW w:type="dxa" w:w="8977"/>
          </w:tcPr>
          <w:p>
            <w:pPr>
              <w:spacing w:after="80" w:before="60"/>
            </w:pPr>
            <w:r>
              <w:rPr>
                <w:b w:val="0"/>
                <w:sz w:val="20"/>
              </w:rPr>
            </w:r>
            <w:r>
              <w:rPr>
                <w:sz w:val="20"/>
              </w:rPr>
              <w:t xml:space="preserve"> 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6834" w:h="11909" w:orient="landscape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 xml:space="preserve">ATM-MV-001  |  Template v1.0  |  Local review and approval required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color w:val="146676"/>
        <w:sz w:val="18"/>
      </w:rPr>
      <w:t>ALL THINGS MICROBIOLOGY  |  CLINICAL MICROBIOLOGY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46676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146676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ISO 15189:2022-aligned method verification plan template</dc:title>
  <dc:subject>Clinical microbiology method verification - laboratory-controlled template</dc:subject>
  <dc:creator>All Things Microbiology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